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AC" w:rsidRPr="00DB7FAC" w:rsidRDefault="00DB7FAC" w:rsidP="00432A2A">
      <w:pPr>
        <w:spacing w:after="0" w:line="240" w:lineRule="auto"/>
        <w:jc w:val="center"/>
        <w:textAlignment w:val="baseline"/>
        <w:outlineLvl w:val="0"/>
        <w:rPr>
          <w:rFonts w:ascii="Verdana" w:eastAsia="Times New Roman" w:hAnsi="Verdana" w:cs="Times New Roman"/>
          <w:b/>
          <w:bCs/>
          <w:color w:val="000000"/>
          <w:kern w:val="36"/>
          <w:sz w:val="48"/>
          <w:szCs w:val="48"/>
        </w:rPr>
      </w:pPr>
      <w:r w:rsidRPr="00DB7FAC">
        <w:rPr>
          <w:rFonts w:ascii="Verdana" w:eastAsia="Times New Roman" w:hAnsi="Verdana" w:cs="Times New Roman"/>
          <w:b/>
          <w:bCs/>
          <w:color w:val="000000"/>
          <w:kern w:val="36"/>
          <w:sz w:val="48"/>
          <w:szCs w:val="48"/>
        </w:rPr>
        <w:t xml:space="preserve">Top Performing Investment Manager, Chetan </w:t>
      </w:r>
      <w:proofErr w:type="spellStart"/>
      <w:r w:rsidRPr="00DB7FAC">
        <w:rPr>
          <w:rFonts w:ascii="Verdana" w:eastAsia="Times New Roman" w:hAnsi="Verdana" w:cs="Times New Roman"/>
          <w:b/>
          <w:bCs/>
          <w:color w:val="000000"/>
          <w:kern w:val="36"/>
          <w:sz w:val="48"/>
          <w:szCs w:val="48"/>
        </w:rPr>
        <w:t>Kapur</w:t>
      </w:r>
      <w:proofErr w:type="spellEnd"/>
      <w:r w:rsidRPr="00DB7FAC">
        <w:rPr>
          <w:rFonts w:ascii="Verdana" w:eastAsia="Times New Roman" w:hAnsi="Verdana" w:cs="Times New Roman"/>
          <w:b/>
          <w:bCs/>
          <w:color w:val="000000"/>
          <w:kern w:val="36"/>
          <w:sz w:val="48"/>
          <w:szCs w:val="48"/>
        </w:rPr>
        <w:t xml:space="preserve"> of </w:t>
      </w:r>
      <w:proofErr w:type="spellStart"/>
      <w:r w:rsidRPr="00DB7FAC">
        <w:rPr>
          <w:rFonts w:ascii="Verdana" w:eastAsia="Times New Roman" w:hAnsi="Verdana" w:cs="Times New Roman"/>
          <w:b/>
          <w:bCs/>
          <w:color w:val="000000"/>
          <w:kern w:val="36"/>
          <w:sz w:val="48"/>
          <w:szCs w:val="48"/>
        </w:rPr>
        <w:t>ThinkStrategy</w:t>
      </w:r>
      <w:proofErr w:type="spellEnd"/>
      <w:r w:rsidRPr="00DB7FAC">
        <w:rPr>
          <w:rFonts w:ascii="Verdana" w:eastAsia="Times New Roman" w:hAnsi="Verdana" w:cs="Times New Roman"/>
          <w:b/>
          <w:bCs/>
          <w:color w:val="000000"/>
          <w:kern w:val="36"/>
          <w:sz w:val="48"/>
          <w:szCs w:val="48"/>
        </w:rPr>
        <w:t xml:space="preserve"> Capital, Went Way Above and Beyond for Investors which Enjoyed Leading Returns for a Decade</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New York, NY, 2017-Oct-12 — /EPR Network/ — Top Performing Investment Manager,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of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Went Way Above and Beyond for Investors which Enjoyed Leading Returns for a Decade.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Gets Unjustly, Unjustifiably and Repeatedly Attacked by Corrupt Element at the SEC.  Top Performing Investment Manager,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of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Went Way Above and Beyond for Investors which Enjoyed Leading Returns for a Decade.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Gets Unjustly, Unjustifiably and Repeatedly Attacked by Corrupt Element at the SEC.</w:t>
      </w:r>
    </w:p>
    <w:p w:rsidR="00DB7FAC" w:rsidRPr="00DB7FAC" w:rsidRDefault="00DB7FAC" w:rsidP="00DB7FAC">
      <w:pPr>
        <w:numPr>
          <w:ilvl w:val="0"/>
          <w:numId w:val="2"/>
        </w:numPr>
        <w:shd w:val="clear" w:color="auto" w:fill="FFFFFF"/>
        <w:spacing w:after="0"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Extremely Honest, Selfless &amp; Diligent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Sacrificed All His and </w:t>
      </w:r>
      <w:proofErr w:type="spellStart"/>
      <w:r w:rsidRPr="00DB7FAC">
        <w:rPr>
          <w:rFonts w:ascii="Verdana" w:eastAsia="Times New Roman" w:hAnsi="Verdana" w:cs="Times New Roman"/>
          <w:color w:val="000000"/>
          <w:sz w:val="21"/>
          <w:szCs w:val="21"/>
        </w:rPr>
        <w:t>ThinkStrategy’s</w:t>
      </w:r>
      <w:proofErr w:type="spellEnd"/>
      <w:r w:rsidRPr="00DB7FAC">
        <w:rPr>
          <w:rFonts w:ascii="Verdana" w:eastAsia="Times New Roman" w:hAnsi="Verdana" w:cs="Times New Roman"/>
          <w:color w:val="000000"/>
          <w:sz w:val="21"/>
          <w:szCs w:val="21"/>
        </w:rPr>
        <w:t xml:space="preserve"> Resources for the Benefit of Investors </w:t>
      </w:r>
      <w:proofErr w:type="gramStart"/>
      <w:r w:rsidRPr="00DB7FAC">
        <w:rPr>
          <w:rFonts w:ascii="Verdana" w:eastAsia="Times New Roman" w:hAnsi="Verdana" w:cs="Times New Roman"/>
          <w:color w:val="000000"/>
          <w:sz w:val="21"/>
          <w:szCs w:val="21"/>
        </w:rPr>
        <w:t>During</w:t>
      </w:r>
      <w:proofErr w:type="gramEnd"/>
      <w:r w:rsidRPr="00DB7FAC">
        <w:rPr>
          <w:rFonts w:ascii="Verdana" w:eastAsia="Times New Roman" w:hAnsi="Verdana" w:cs="Times New Roman"/>
          <w:color w:val="000000"/>
          <w:sz w:val="21"/>
          <w:szCs w:val="21"/>
        </w:rPr>
        <w:t xml:space="preserve"> the Great Recession and Thereafter.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Even Gave Up His Investment and Creditor Claim in the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Funds for the Benefit of Investors.</w:t>
      </w:r>
    </w:p>
    <w:p w:rsidR="00DB7FAC" w:rsidRPr="00DB7FAC" w:rsidRDefault="00DB7FAC" w:rsidP="00DB7FAC">
      <w:pPr>
        <w:numPr>
          <w:ilvl w:val="0"/>
          <w:numId w:val="2"/>
        </w:numPr>
        <w:shd w:val="clear" w:color="auto" w:fill="FFFFFF"/>
        <w:spacing w:after="0"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Corrupt, Deceitful Contingent at SEC Engaged in a Campaign of Harassment, Defamation and False Imprisonment Against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The SEC Attack Began One Year After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Closed Operations, With the Worst Banking Crisis in US History, Having Depleted All Resources for Investors Benefit.  SEC Attempted to Extort Third Parties Including Chetan </w:t>
      </w:r>
      <w:proofErr w:type="spellStart"/>
      <w:r w:rsidRPr="00DB7FAC">
        <w:rPr>
          <w:rFonts w:ascii="Verdana" w:eastAsia="Times New Roman" w:hAnsi="Verdana" w:cs="Times New Roman"/>
          <w:color w:val="000000"/>
          <w:sz w:val="21"/>
          <w:szCs w:val="21"/>
        </w:rPr>
        <w:t>Kapur’s</w:t>
      </w:r>
      <w:proofErr w:type="spellEnd"/>
      <w:r w:rsidRPr="00DB7FAC">
        <w:rPr>
          <w:rFonts w:ascii="Verdana" w:eastAsia="Times New Roman" w:hAnsi="Verdana" w:cs="Times New Roman"/>
          <w:color w:val="000000"/>
          <w:sz w:val="21"/>
          <w:szCs w:val="21"/>
        </w:rPr>
        <w:t xml:space="preserve"> Family </w:t>
      </w:r>
      <w:proofErr w:type="gramStart"/>
      <w:r w:rsidRPr="00DB7FAC">
        <w:rPr>
          <w:rFonts w:ascii="Verdana" w:eastAsia="Times New Roman" w:hAnsi="Verdana" w:cs="Times New Roman"/>
          <w:color w:val="000000"/>
          <w:sz w:val="21"/>
          <w:szCs w:val="21"/>
        </w:rPr>
        <w:t>Out</w:t>
      </w:r>
      <w:proofErr w:type="gramEnd"/>
      <w:r w:rsidRPr="00DB7FAC">
        <w:rPr>
          <w:rFonts w:ascii="Verdana" w:eastAsia="Times New Roman" w:hAnsi="Verdana" w:cs="Times New Roman"/>
          <w:color w:val="000000"/>
          <w:sz w:val="21"/>
          <w:szCs w:val="21"/>
        </w:rPr>
        <w:t xml:space="preserve"> of Assets That Legally Belonged to Them But Failure Was Inevitable.</w:t>
      </w:r>
    </w:p>
    <w:p w:rsidR="00DB7FAC" w:rsidRPr="00DB7FAC" w:rsidRDefault="00DB7FAC" w:rsidP="00DB7FAC">
      <w:pPr>
        <w:numPr>
          <w:ilvl w:val="0"/>
          <w:numId w:val="2"/>
        </w:numPr>
        <w:shd w:val="clear" w:color="auto" w:fill="FFFFFF"/>
        <w:spacing w:after="0"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All SEC Claims </w:t>
      </w:r>
      <w:proofErr w:type="gramStart"/>
      <w:r w:rsidRPr="00DB7FAC">
        <w:rPr>
          <w:rFonts w:ascii="Verdana" w:eastAsia="Times New Roman" w:hAnsi="Verdana" w:cs="Times New Roman"/>
          <w:color w:val="000000"/>
          <w:sz w:val="21"/>
          <w:szCs w:val="21"/>
        </w:rPr>
        <w:t>Against</w:t>
      </w:r>
      <w:proofErr w:type="gramEnd"/>
      <w:r w:rsidRPr="00DB7FAC">
        <w:rPr>
          <w:rFonts w:ascii="Verdana" w:eastAsia="Times New Roman" w:hAnsi="Verdana" w:cs="Times New Roman"/>
          <w:color w:val="000000"/>
          <w:sz w:val="21"/>
          <w:szCs w:val="21"/>
        </w:rPr>
        <w:t xml:space="preserve">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were Clearly Defamatory, Slanderous, Fictional and Egregiously False. SEC’s Fabricated and Fake Claims were </w:t>
      </w:r>
      <w:proofErr w:type="gramStart"/>
      <w:r w:rsidRPr="00DB7FAC">
        <w:rPr>
          <w:rFonts w:ascii="Verdana" w:eastAsia="Times New Roman" w:hAnsi="Verdana" w:cs="Times New Roman"/>
          <w:color w:val="000000"/>
          <w:sz w:val="21"/>
          <w:szCs w:val="21"/>
        </w:rPr>
        <w:t>Based</w:t>
      </w:r>
      <w:proofErr w:type="gramEnd"/>
      <w:r w:rsidRPr="00DB7FAC">
        <w:rPr>
          <w:rFonts w:ascii="Verdana" w:eastAsia="Times New Roman" w:hAnsi="Verdana" w:cs="Times New Roman"/>
          <w:color w:val="000000"/>
          <w:sz w:val="21"/>
          <w:szCs w:val="21"/>
        </w:rPr>
        <w:t xml:space="preserve"> on Stale, Partial, Out of Context, Contorted or Erroneous Information.</w:t>
      </w:r>
    </w:p>
    <w:p w:rsidR="00DB7FAC" w:rsidRPr="00DB7FAC" w:rsidRDefault="00DB7FAC" w:rsidP="00DB7FAC">
      <w:pPr>
        <w:numPr>
          <w:ilvl w:val="0"/>
          <w:numId w:val="2"/>
        </w:numPr>
        <w:shd w:val="clear" w:color="auto" w:fill="FFFFFF"/>
        <w:spacing w:after="0"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Numerous Independent Third Parties Provide Testimony and Testimonials Which Highlight Chetan </w:t>
      </w:r>
      <w:proofErr w:type="spellStart"/>
      <w:r w:rsidRPr="00DB7FAC">
        <w:rPr>
          <w:rFonts w:ascii="Verdana" w:eastAsia="Times New Roman" w:hAnsi="Verdana" w:cs="Times New Roman"/>
          <w:color w:val="000000"/>
          <w:sz w:val="21"/>
          <w:szCs w:val="21"/>
        </w:rPr>
        <w:t>Kapur’s</w:t>
      </w:r>
      <w:proofErr w:type="spellEnd"/>
      <w:r w:rsidRPr="00DB7FAC">
        <w:rPr>
          <w:rFonts w:ascii="Verdana" w:eastAsia="Times New Roman" w:hAnsi="Verdana" w:cs="Times New Roman"/>
          <w:color w:val="000000"/>
          <w:sz w:val="21"/>
          <w:szCs w:val="21"/>
        </w:rPr>
        <w:t xml:space="preserve"> Excellent Reputation, Impeccable Character and Outstanding Contribution to the Community.</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Management managed and advised two leading hedge funds –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Fund, an equity market-neutral fund and TS Multi-Strategy Fund, a leveraged multi-strategy fund of hedge funds and had a comprehensive managed account program. The funds and managed accounts provided investors excellent annual returns with low relative volatility for the majority of a decade. All investors received the reported returns that were based on the net asset values generated from the funds trading or allocations. With the financial and banking crisis, the leveraged TS Multi-Strategy Fund, a top performer, was put into liquidation by its lender and custodian, KBC Financial, in 2008 (which put all their leveraged clients into liquidation).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eventually put the TS Multi-Strategy Fund into the hands of </w:t>
      </w:r>
      <w:proofErr w:type="spellStart"/>
      <w:r w:rsidRPr="00DB7FAC">
        <w:rPr>
          <w:rFonts w:ascii="Verdana" w:eastAsia="Times New Roman" w:hAnsi="Verdana" w:cs="Times New Roman"/>
          <w:color w:val="000000"/>
          <w:sz w:val="21"/>
          <w:szCs w:val="21"/>
        </w:rPr>
        <w:lastRenderedPageBreak/>
        <w:t>PriceWaterhouse</w:t>
      </w:r>
      <w:proofErr w:type="spellEnd"/>
      <w:r w:rsidRPr="00DB7FAC">
        <w:rPr>
          <w:rFonts w:ascii="Verdana" w:eastAsia="Times New Roman" w:hAnsi="Verdana" w:cs="Times New Roman"/>
          <w:color w:val="000000"/>
          <w:sz w:val="21"/>
          <w:szCs w:val="21"/>
        </w:rPr>
        <w:t xml:space="preserve"> Coopers. The TS Multi-Strategy Fund conducted due diligence on or evaluated approximately 8000 investment opportunities and had over 150 different investments.</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had quality independent service providers that audited and administered the Company’s funds and returns. The Funds’ custody, leverage, brokerage, liquidation, legal, tax and other service providers were also quality independent firms. The service providers included </w:t>
      </w:r>
      <w:proofErr w:type="spellStart"/>
      <w:r w:rsidRPr="00DB7FAC">
        <w:rPr>
          <w:rFonts w:ascii="Verdana" w:eastAsia="Times New Roman" w:hAnsi="Verdana" w:cs="Times New Roman"/>
          <w:color w:val="000000"/>
          <w:sz w:val="21"/>
          <w:szCs w:val="21"/>
        </w:rPr>
        <w:t>PriceWaterhouse</w:t>
      </w:r>
      <w:proofErr w:type="spellEnd"/>
      <w:r w:rsidRPr="00DB7FAC">
        <w:rPr>
          <w:rFonts w:ascii="Verdana" w:eastAsia="Times New Roman" w:hAnsi="Verdana" w:cs="Times New Roman"/>
          <w:color w:val="000000"/>
          <w:sz w:val="21"/>
          <w:szCs w:val="21"/>
        </w:rPr>
        <w:t xml:space="preserve"> Coopers, KBC Financial, O’Connor Davies </w:t>
      </w:r>
      <w:proofErr w:type="spellStart"/>
      <w:r w:rsidRPr="00DB7FAC">
        <w:rPr>
          <w:rFonts w:ascii="Verdana" w:eastAsia="Times New Roman" w:hAnsi="Verdana" w:cs="Times New Roman"/>
          <w:color w:val="000000"/>
          <w:sz w:val="21"/>
          <w:szCs w:val="21"/>
        </w:rPr>
        <w:t>Munns</w:t>
      </w:r>
      <w:proofErr w:type="spellEnd"/>
      <w:r w:rsidRPr="00DB7FAC">
        <w:rPr>
          <w:rFonts w:ascii="Verdana" w:eastAsia="Times New Roman" w:hAnsi="Verdana" w:cs="Times New Roman"/>
          <w:color w:val="000000"/>
          <w:sz w:val="21"/>
          <w:szCs w:val="21"/>
        </w:rPr>
        <w:t xml:space="preserve"> and Dobbins, Eisner, Folio Administrators and Kirkpatrick &amp; Lockhart.</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always had a Director of Business Development that fully managed and spearheaded the firm’s capital raising, sales and investor relations effort. The Director of Business Development created all offering materials and was responsible for all investor needs as it related to the Funds’ performance, assets under management, longevity, strategy, due diligence and management team. In addition, other senior members spearheaded portfolio management, research and due diligence, trading and other functional areas of the firm (such as operations and archiving).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was a sophisticated growing firm managed in a similar fashion to many growing hedge funds of its size.</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Any inadvertent omission or inaccuracy made by </w:t>
      </w:r>
      <w:proofErr w:type="spellStart"/>
      <w:r w:rsidRPr="00DB7FAC">
        <w:rPr>
          <w:rFonts w:ascii="Verdana" w:eastAsia="Times New Roman" w:hAnsi="Verdana" w:cs="Times New Roman"/>
          <w:color w:val="000000"/>
          <w:sz w:val="21"/>
          <w:szCs w:val="21"/>
        </w:rPr>
        <w:t>ThinkStrategy’s</w:t>
      </w:r>
      <w:proofErr w:type="spellEnd"/>
      <w:r w:rsidRPr="00DB7FAC">
        <w:rPr>
          <w:rFonts w:ascii="Verdana" w:eastAsia="Times New Roman" w:hAnsi="Verdana" w:cs="Times New Roman"/>
          <w:color w:val="000000"/>
          <w:sz w:val="21"/>
          <w:szCs w:val="21"/>
        </w:rPr>
        <w:t xml:space="preserve"> Director of Business Development or his investor relations team in the normal course of business in one-off documents was not only corrected immediately when identified and re-issued but also accurately noted in many other offering and marketing materials including the fund’s foundational offering documents (i.e. the Offering Memorandum, Limited Partnership Agreement and Investment Management Agreement).  The Funds’ sophisticated, qualified, experienced, accredited investors carefully reviewed all documents and spoke to and met the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team and their independent service providers – all of which accurately answered all questions prior to investment. Not one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investor was ever misled in any way, shape or form as to the investment products and the risks associated with them. Not one investor ever redeemed as a result of an inadvertent inaccuracy being corrected by the Director of Business Development or his investor relations team.</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Management conducted comprehensive research and due diligence in all its investment products.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Capital’s fund of hedge fund product, TS Multi-Strategy Fund, had an extensive, multi-faceted program of diligence that included operational, strategy, risk, stress and scenario due diligence processes (that were applied to all sub-funds being evaluated). Each due diligence process had several qualitative and quantitative aspects and checks not noted to investors but to their benefit. Other leading fund of funds also had similar processes that were above or at industry standard for the time.  The TS Multi-Strategy Fund investments oftentimes were recommended by highly regarded institutional advisors or consultants, or came from respected investment databases. All TS Multi-Strategy Fund sub-fund managers always had strong knowledge and experience with their strategy, very solid business and investing experience, and used quality service providers. Many sub-funds were eliminated from consideration as a result of the stringent and multi-faceted due diligence performed by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TS Multi-Strategy Fund continually improved its above or at industry standard due diligence processes eventually adopting </w:t>
      </w:r>
      <w:r w:rsidRPr="00DB7FAC">
        <w:rPr>
          <w:rFonts w:ascii="Verdana" w:eastAsia="Times New Roman" w:hAnsi="Verdana" w:cs="Times New Roman"/>
          <w:color w:val="000000"/>
          <w:sz w:val="21"/>
          <w:szCs w:val="21"/>
        </w:rPr>
        <w:lastRenderedPageBreak/>
        <w:t xml:space="preserve">a ‘No Stone Should Be Left Unturned’ policy even if there were no red flags. Furthermore, the TS Multi-Strategy Fund could not invest in any sub-fund unless it passed KBC </w:t>
      </w:r>
      <w:proofErr w:type="spellStart"/>
      <w:r w:rsidRPr="00DB7FAC">
        <w:rPr>
          <w:rFonts w:ascii="Verdana" w:eastAsia="Times New Roman" w:hAnsi="Verdana" w:cs="Times New Roman"/>
          <w:color w:val="000000"/>
          <w:sz w:val="21"/>
          <w:szCs w:val="21"/>
        </w:rPr>
        <w:t>Financial’s</w:t>
      </w:r>
      <w:proofErr w:type="spellEnd"/>
      <w:r w:rsidRPr="00DB7FAC">
        <w:rPr>
          <w:rFonts w:ascii="Verdana" w:eastAsia="Times New Roman" w:hAnsi="Verdana" w:cs="Times New Roman"/>
          <w:color w:val="000000"/>
          <w:sz w:val="21"/>
          <w:szCs w:val="21"/>
        </w:rPr>
        <w:t xml:space="preserve"> (TS Multi-Strategy Fund’s lender and custodian) independent due diligence processes and standards.</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The TS Multi-Strategy Fund, a leading performer, was one of KBC </w:t>
      </w:r>
      <w:proofErr w:type="spellStart"/>
      <w:r w:rsidRPr="00DB7FAC">
        <w:rPr>
          <w:rFonts w:ascii="Verdana" w:eastAsia="Times New Roman" w:hAnsi="Verdana" w:cs="Times New Roman"/>
          <w:color w:val="000000"/>
          <w:sz w:val="21"/>
          <w:szCs w:val="21"/>
        </w:rPr>
        <w:t>Financial’s</w:t>
      </w:r>
      <w:proofErr w:type="spellEnd"/>
      <w:r w:rsidRPr="00DB7FAC">
        <w:rPr>
          <w:rFonts w:ascii="Verdana" w:eastAsia="Times New Roman" w:hAnsi="Verdana" w:cs="Times New Roman"/>
          <w:color w:val="000000"/>
          <w:sz w:val="21"/>
          <w:szCs w:val="21"/>
        </w:rPr>
        <w:t xml:space="preserve"> last clients to be put into liquidation as it was a top performer and well diversified. The leveraged fund of hedge funds had no choice in having to submit full control over to KBC </w:t>
      </w:r>
      <w:proofErr w:type="spellStart"/>
      <w:r w:rsidRPr="00DB7FAC">
        <w:rPr>
          <w:rFonts w:ascii="Verdana" w:eastAsia="Times New Roman" w:hAnsi="Verdana" w:cs="Times New Roman"/>
          <w:color w:val="000000"/>
          <w:sz w:val="21"/>
          <w:szCs w:val="21"/>
        </w:rPr>
        <w:t>Financial’s</w:t>
      </w:r>
      <w:proofErr w:type="spellEnd"/>
      <w:r w:rsidRPr="00DB7FAC">
        <w:rPr>
          <w:rFonts w:ascii="Verdana" w:eastAsia="Times New Roman" w:hAnsi="Verdana" w:cs="Times New Roman"/>
          <w:color w:val="000000"/>
          <w:sz w:val="21"/>
          <w:szCs w:val="21"/>
        </w:rPr>
        <w:t xml:space="preserve"> liquidation process, the worst banking crisis in US history and the worst economic and financial crisis since 1929. Nonetheless, the fund outperformed a vast majority of its peers locked in a similar position in spite of coming to discover and fully writing off a couple of issue or fraudulent sub-investments. Further, had the SEC done their jobs properly, being the only ones with access to third-party fund bank and brokerage statements, the TS Multi-Strategy Fund of Funds and thousands of other sophisticated investors would not have been a victim of any fraud losses. The TS Multi-Strategy Fund and the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Fund enjoyed investment success and outperformance significantly higher than its peers in all periods.</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and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worked very diligently for investors of the leveraged funds even while receiving no compensation or fees for approximately 3 years as KBC Financial (lender and custodian that put all their clients into liquidation with the US banking crisis) halted all required fees payable to their investment managers during the liquidation period.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and its founder,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thereafter went out-of-pocket during these 3 years to pay for the entire infrastructure and operating expenses of these funds until their resources were fully depleted leaving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with very significant debts. Most other investment managers would have forced their funds into court receivership or the hands of a liquidator immediately whereby all these expenses and costs would be charged to the fund – thereby hurting investor returns (and woul</w:t>
      </w:r>
      <w:bookmarkStart w:id="0" w:name="_GoBack"/>
      <w:bookmarkEnd w:id="0"/>
      <w:r w:rsidRPr="00DB7FAC">
        <w:rPr>
          <w:rFonts w:ascii="Verdana" w:eastAsia="Times New Roman" w:hAnsi="Verdana" w:cs="Times New Roman"/>
          <w:color w:val="000000"/>
          <w:sz w:val="21"/>
          <w:szCs w:val="21"/>
        </w:rPr>
        <w:t xml:space="preserve">d not have worked 16+ hour days in selfless sacrifice as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did).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did not abandon investors, which he was legally entitled to do as he was working gratis. Investors benefitted at the very substantial cost and expense of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and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during this liquidation period devoted a lot of hard work and effort in providing detailed reports to investors, in making prudent decisions on sub-funds that were restructuring or liquidating, in procuring the sub-funds to payout as soon as feasible (including participating in investor committees and appointing advisors to oversee payouts), in obtaining risk, liquidity, outlook and other updates from the sub-funds, as well as maintained coordination with all service providers to the fund (the independent auditors, the independent administrators, the independent accountants and tax preparers, and independent legal) while the Company and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received no compensation for their diligence. Further, the fund’s investors were provided substantial fee discounts in the normal course of business prior to the economic and banking crisis too – once again benefitting investors at the cost of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and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eventually put the Multi-Strategy Fund of Hedge Funds into the hands of </w:t>
      </w:r>
      <w:proofErr w:type="spellStart"/>
      <w:r w:rsidRPr="00DB7FAC">
        <w:rPr>
          <w:rFonts w:ascii="Verdana" w:eastAsia="Times New Roman" w:hAnsi="Verdana" w:cs="Times New Roman"/>
          <w:color w:val="000000"/>
          <w:sz w:val="21"/>
          <w:szCs w:val="21"/>
        </w:rPr>
        <w:t>PriceWaterhouse</w:t>
      </w:r>
      <w:proofErr w:type="spellEnd"/>
      <w:r w:rsidRPr="00DB7FAC">
        <w:rPr>
          <w:rFonts w:ascii="Verdana" w:eastAsia="Times New Roman" w:hAnsi="Verdana" w:cs="Times New Roman"/>
          <w:color w:val="000000"/>
          <w:sz w:val="21"/>
          <w:szCs w:val="21"/>
        </w:rPr>
        <w:t xml:space="preserve"> Coopers after 3 long years of managing all aspects and costs of the funds without pay, having done all it could for investors, depleting resources fully and leaving founder,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in a very substantial debt position. Further, </w:t>
      </w:r>
      <w:proofErr w:type="spellStart"/>
      <w:r w:rsidRPr="00DB7FAC">
        <w:rPr>
          <w:rFonts w:ascii="Verdana" w:eastAsia="Times New Roman" w:hAnsi="Verdana" w:cs="Times New Roman"/>
          <w:color w:val="000000"/>
          <w:sz w:val="21"/>
          <w:szCs w:val="21"/>
        </w:rPr>
        <w:lastRenderedPageBreak/>
        <w:t>ThinkStrategy</w:t>
      </w:r>
      <w:proofErr w:type="spellEnd"/>
      <w:r w:rsidRPr="00DB7FAC">
        <w:rPr>
          <w:rFonts w:ascii="Verdana" w:eastAsia="Times New Roman" w:hAnsi="Verdana" w:cs="Times New Roman"/>
          <w:color w:val="000000"/>
          <w:sz w:val="21"/>
          <w:szCs w:val="21"/>
        </w:rPr>
        <w:t xml:space="preserve"> Capital and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suffered the exact same percentage loss during the economic, banking and private lending crisis being an investor in the fund that was put into liquidation.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and Chetan </w:t>
      </w:r>
      <w:proofErr w:type="spellStart"/>
      <w:r w:rsidRPr="00DB7FAC">
        <w:rPr>
          <w:rFonts w:ascii="Verdana" w:eastAsia="Times New Roman" w:hAnsi="Verdana" w:cs="Times New Roman"/>
          <w:color w:val="000000"/>
          <w:sz w:val="21"/>
          <w:szCs w:val="21"/>
        </w:rPr>
        <w:t>Kapur</w:t>
      </w:r>
      <w:proofErr w:type="spellEnd"/>
      <w:r w:rsidRPr="00DB7FAC">
        <w:rPr>
          <w:rFonts w:ascii="Verdana" w:eastAsia="Times New Roman" w:hAnsi="Verdana" w:cs="Times New Roman"/>
          <w:color w:val="000000"/>
          <w:sz w:val="21"/>
          <w:szCs w:val="21"/>
        </w:rPr>
        <w:t xml:space="preserve"> wrote off their fund investment and a very considerable creditor claim towards the fund for the major benefit of investors.</w:t>
      </w:r>
    </w:p>
    <w:p w:rsidR="00DB7FAC" w:rsidRPr="00DB7FAC" w:rsidRDefault="00DB7FAC" w:rsidP="00DB7FAC">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Continue at (</w:t>
      </w:r>
      <w:hyperlink r:id="rId6" w:tgtFrame="_blank" w:history="1">
        <w:r w:rsidRPr="00DB7FAC">
          <w:rPr>
            <w:rFonts w:ascii="Verdana" w:eastAsia="Times New Roman" w:hAnsi="Verdana" w:cs="Times New Roman"/>
            <w:color w:val="E64946"/>
            <w:sz w:val="21"/>
            <w:szCs w:val="21"/>
            <w:u w:val="single"/>
            <w:bdr w:val="none" w:sz="0" w:space="0" w:color="auto" w:frame="1"/>
          </w:rPr>
          <w:t>http://investigativecoverage.com/investigativereport-on-thinkstrategy-and-chetan-kapur/</w:t>
        </w:r>
      </w:hyperlink>
      <w:r w:rsidRPr="00DB7FAC">
        <w:rPr>
          <w:rFonts w:ascii="Verdana" w:eastAsia="Times New Roman" w:hAnsi="Verdana" w:cs="Times New Roman"/>
          <w:color w:val="000000"/>
          <w:sz w:val="21"/>
          <w:szCs w:val="21"/>
        </w:rPr>
        <w:t>)</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 xml:space="preserve">Cases: SEC v. </w:t>
      </w:r>
      <w:proofErr w:type="spellStart"/>
      <w:r w:rsidRPr="00DB7FAC">
        <w:rPr>
          <w:rFonts w:ascii="Verdana" w:eastAsia="Times New Roman" w:hAnsi="Verdana" w:cs="Times New Roman"/>
          <w:color w:val="000000"/>
          <w:sz w:val="21"/>
          <w:szCs w:val="21"/>
        </w:rPr>
        <w:t>ThinkStrategy</w:t>
      </w:r>
      <w:proofErr w:type="spellEnd"/>
      <w:r w:rsidRPr="00DB7FAC">
        <w:rPr>
          <w:rFonts w:ascii="Verdana" w:eastAsia="Times New Roman" w:hAnsi="Verdana" w:cs="Times New Roman"/>
          <w:color w:val="000000"/>
          <w:sz w:val="21"/>
          <w:szCs w:val="21"/>
        </w:rPr>
        <w:t xml:space="preserve"> Capital Mgmt. LLC et al., 11CV8094, 17-691CV, 12CR00535, US District Court, Southern District of New York</w:t>
      </w:r>
    </w:p>
    <w:p w:rsidR="00DB7FAC" w:rsidRPr="00DB7FAC" w:rsidRDefault="00DB7FAC" w:rsidP="00DB7FAC">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color w:val="000000"/>
          <w:sz w:val="21"/>
          <w:szCs w:val="21"/>
        </w:rPr>
        <w:t>SOURCE: Investigative Coverage</w:t>
      </w:r>
    </w:p>
    <w:p w:rsidR="00DB7FAC" w:rsidRDefault="00DB7FAC" w:rsidP="00DB7FAC">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DB7FAC">
        <w:rPr>
          <w:rFonts w:ascii="Verdana" w:eastAsia="Times New Roman" w:hAnsi="Verdana" w:cs="Times New Roman"/>
          <w:b/>
          <w:bCs/>
          <w:color w:val="000000"/>
          <w:sz w:val="21"/>
          <w:szCs w:val="21"/>
          <w:bdr w:val="none" w:sz="0" w:space="0" w:color="auto" w:frame="1"/>
        </w:rPr>
        <w:t>Contact-Details</w:t>
      </w:r>
      <w:proofErr w:type="gramStart"/>
      <w:r w:rsidRPr="00DB7FAC">
        <w:rPr>
          <w:rFonts w:ascii="Verdana" w:eastAsia="Times New Roman" w:hAnsi="Verdana" w:cs="Times New Roman"/>
          <w:b/>
          <w:bCs/>
          <w:color w:val="000000"/>
          <w:sz w:val="21"/>
          <w:szCs w:val="21"/>
          <w:bdr w:val="none" w:sz="0" w:space="0" w:color="auto" w:frame="1"/>
        </w:rPr>
        <w:t>:</w:t>
      </w:r>
      <w:proofErr w:type="gramEnd"/>
      <w:r w:rsidRPr="00DB7FAC">
        <w:rPr>
          <w:rFonts w:ascii="Verdana" w:eastAsia="Times New Roman" w:hAnsi="Verdana" w:cs="Times New Roman"/>
          <w:color w:val="000000"/>
          <w:sz w:val="21"/>
          <w:szCs w:val="21"/>
        </w:rPr>
        <w:br/>
        <w:t>Investigative Coverage</w:t>
      </w:r>
      <w:r w:rsidRPr="00DB7FAC">
        <w:rPr>
          <w:rFonts w:ascii="Verdana" w:eastAsia="Times New Roman" w:hAnsi="Verdana" w:cs="Times New Roman"/>
          <w:color w:val="000000"/>
          <w:sz w:val="21"/>
          <w:szCs w:val="21"/>
        </w:rPr>
        <w:br/>
        <w:t>73 Watling Street</w:t>
      </w:r>
      <w:r w:rsidRPr="00DB7FAC">
        <w:rPr>
          <w:rFonts w:ascii="Verdana" w:eastAsia="Times New Roman" w:hAnsi="Verdana" w:cs="Times New Roman"/>
          <w:color w:val="000000"/>
          <w:sz w:val="21"/>
          <w:szCs w:val="21"/>
        </w:rPr>
        <w:br/>
        <w:t>London EC4M 9BJ</w:t>
      </w:r>
      <w:r w:rsidRPr="00DB7FAC">
        <w:rPr>
          <w:rFonts w:ascii="Verdana" w:eastAsia="Times New Roman" w:hAnsi="Verdana" w:cs="Times New Roman"/>
          <w:color w:val="000000"/>
          <w:sz w:val="21"/>
          <w:szCs w:val="21"/>
        </w:rPr>
        <w:br/>
      </w:r>
      <w:hyperlink r:id="rId7" w:tgtFrame="_blank" w:history="1">
        <w:r w:rsidRPr="00DB7FAC">
          <w:rPr>
            <w:rFonts w:ascii="Verdana" w:eastAsia="Times New Roman" w:hAnsi="Verdana" w:cs="Times New Roman"/>
            <w:color w:val="E64946"/>
            <w:sz w:val="21"/>
            <w:szCs w:val="21"/>
            <w:u w:val="single"/>
            <w:bdr w:val="none" w:sz="0" w:space="0" w:color="auto" w:frame="1"/>
          </w:rPr>
          <w:t>Shalene@investigativecoverage.com</w:t>
        </w:r>
      </w:hyperlink>
    </w:p>
    <w:p w:rsidR="005660AF" w:rsidRDefault="005660AF" w:rsidP="00DB7FAC">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p>
    <w:p w:rsidR="005660AF" w:rsidRDefault="005660AF" w:rsidP="005660AF">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5660AF" w:rsidRPr="00DB7FAC" w:rsidRDefault="005660AF" w:rsidP="00DB7FAC">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p>
    <w:p w:rsidR="00C84B90" w:rsidRPr="00DB7FAC" w:rsidRDefault="00EA09A9">
      <w:pPr>
        <w:rPr>
          <w:rFonts w:ascii="Verdana" w:hAnsi="Verdana"/>
        </w:rPr>
      </w:pPr>
    </w:p>
    <w:sectPr w:rsidR="00C84B90" w:rsidRPr="00DB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8B3"/>
    <w:multiLevelType w:val="multilevel"/>
    <w:tmpl w:val="B9D6C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C4324"/>
    <w:multiLevelType w:val="multilevel"/>
    <w:tmpl w:val="DEB08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AC"/>
    <w:rsid w:val="0003016C"/>
    <w:rsid w:val="00364DC5"/>
    <w:rsid w:val="00432A2A"/>
    <w:rsid w:val="005660AF"/>
    <w:rsid w:val="0077402F"/>
    <w:rsid w:val="00DB7FAC"/>
    <w:rsid w:val="00EA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AC"/>
    <w:rPr>
      <w:rFonts w:ascii="Times New Roman" w:eastAsia="Times New Roman" w:hAnsi="Times New Roman" w:cs="Times New Roman"/>
      <w:b/>
      <w:bCs/>
      <w:kern w:val="36"/>
      <w:sz w:val="48"/>
      <w:szCs w:val="48"/>
    </w:rPr>
  </w:style>
  <w:style w:type="paragraph" w:customStyle="1" w:styleId="meta">
    <w:name w:val="meta"/>
    <w:basedOn w:val="Normal"/>
    <w:rsid w:val="00DB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B7FAC"/>
  </w:style>
  <w:style w:type="character" w:customStyle="1" w:styleId="fn">
    <w:name w:val="fn"/>
    <w:basedOn w:val="DefaultParagraphFont"/>
    <w:rsid w:val="00DB7FAC"/>
  </w:style>
  <w:style w:type="character" w:styleId="Hyperlink">
    <w:name w:val="Hyperlink"/>
    <w:basedOn w:val="DefaultParagraphFont"/>
    <w:uiPriority w:val="99"/>
    <w:semiHidden/>
    <w:unhideWhenUsed/>
    <w:rsid w:val="00DB7FAC"/>
    <w:rPr>
      <w:color w:val="0000FF"/>
      <w:u w:val="single"/>
    </w:rPr>
  </w:style>
  <w:style w:type="character" w:customStyle="1" w:styleId="sharify-title">
    <w:name w:val="sharify-title"/>
    <w:basedOn w:val="DefaultParagraphFont"/>
    <w:rsid w:val="00DB7FAC"/>
  </w:style>
  <w:style w:type="character" w:customStyle="1" w:styleId="sharify-count">
    <w:name w:val="sharify-count"/>
    <w:basedOn w:val="DefaultParagraphFont"/>
    <w:rsid w:val="00DB7FAC"/>
  </w:style>
  <w:style w:type="paragraph" w:styleId="NormalWeb">
    <w:name w:val="Normal (Web)"/>
    <w:basedOn w:val="Normal"/>
    <w:uiPriority w:val="99"/>
    <w:semiHidden/>
    <w:unhideWhenUsed/>
    <w:rsid w:val="00DB7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AC"/>
    <w:rPr>
      <w:rFonts w:ascii="Times New Roman" w:eastAsia="Times New Roman" w:hAnsi="Times New Roman" w:cs="Times New Roman"/>
      <w:b/>
      <w:bCs/>
      <w:kern w:val="36"/>
      <w:sz w:val="48"/>
      <w:szCs w:val="48"/>
    </w:rPr>
  </w:style>
  <w:style w:type="paragraph" w:customStyle="1" w:styleId="meta">
    <w:name w:val="meta"/>
    <w:basedOn w:val="Normal"/>
    <w:rsid w:val="00DB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B7FAC"/>
  </w:style>
  <w:style w:type="character" w:customStyle="1" w:styleId="fn">
    <w:name w:val="fn"/>
    <w:basedOn w:val="DefaultParagraphFont"/>
    <w:rsid w:val="00DB7FAC"/>
  </w:style>
  <w:style w:type="character" w:styleId="Hyperlink">
    <w:name w:val="Hyperlink"/>
    <w:basedOn w:val="DefaultParagraphFont"/>
    <w:uiPriority w:val="99"/>
    <w:semiHidden/>
    <w:unhideWhenUsed/>
    <w:rsid w:val="00DB7FAC"/>
    <w:rPr>
      <w:color w:val="0000FF"/>
      <w:u w:val="single"/>
    </w:rPr>
  </w:style>
  <w:style w:type="character" w:customStyle="1" w:styleId="sharify-title">
    <w:name w:val="sharify-title"/>
    <w:basedOn w:val="DefaultParagraphFont"/>
    <w:rsid w:val="00DB7FAC"/>
  </w:style>
  <w:style w:type="character" w:customStyle="1" w:styleId="sharify-count">
    <w:name w:val="sharify-count"/>
    <w:basedOn w:val="DefaultParagraphFont"/>
    <w:rsid w:val="00DB7FAC"/>
  </w:style>
  <w:style w:type="paragraph" w:styleId="NormalWeb">
    <w:name w:val="Normal (Web)"/>
    <w:basedOn w:val="Normal"/>
    <w:uiPriority w:val="99"/>
    <w:semiHidden/>
    <w:unhideWhenUsed/>
    <w:rsid w:val="00DB7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4347">
      <w:bodyDiv w:val="1"/>
      <w:marLeft w:val="0"/>
      <w:marRight w:val="0"/>
      <w:marTop w:val="0"/>
      <w:marBottom w:val="0"/>
      <w:divBdr>
        <w:top w:val="none" w:sz="0" w:space="0" w:color="auto"/>
        <w:left w:val="none" w:sz="0" w:space="0" w:color="auto"/>
        <w:bottom w:val="none" w:sz="0" w:space="0" w:color="auto"/>
        <w:right w:val="none" w:sz="0" w:space="0" w:color="auto"/>
      </w:divBdr>
      <w:divsChild>
        <w:div w:id="1861161828">
          <w:marLeft w:val="0"/>
          <w:marRight w:val="0"/>
          <w:marTop w:val="0"/>
          <w:marBottom w:val="0"/>
          <w:divBdr>
            <w:top w:val="none" w:sz="0" w:space="0" w:color="auto"/>
            <w:left w:val="none" w:sz="0" w:space="0" w:color="auto"/>
            <w:bottom w:val="none" w:sz="0" w:space="0" w:color="auto"/>
            <w:right w:val="none" w:sz="0" w:space="0" w:color="auto"/>
          </w:divBdr>
          <w:divsChild>
            <w:div w:id="16642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mailto:Shalene@investigativecover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gativecoverage.com/investigativereport-on-thinkstrategy-and-chetan-kapu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2017-10-12T15:56:00Z</cp:lastPrinted>
  <dcterms:created xsi:type="dcterms:W3CDTF">2017-10-12T15:54:00Z</dcterms:created>
  <dcterms:modified xsi:type="dcterms:W3CDTF">2017-10-12T15:56:00Z</dcterms:modified>
</cp:coreProperties>
</file>